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C75D3" w14:textId="77777777" w:rsidR="00EA6C7C" w:rsidRPr="00571687" w:rsidRDefault="00EA6C7C" w:rsidP="00662E90">
      <w:pPr>
        <w:rPr>
          <w:sz w:val="20"/>
          <w:lang w:val="en-GB"/>
        </w:rPr>
      </w:pPr>
      <w:r w:rsidRPr="00571687">
        <w:rPr>
          <w:sz w:val="20"/>
          <w:lang w:val="en-GB"/>
        </w:rPr>
        <w:br/>
      </w:r>
    </w:p>
    <w:p w14:paraId="6E36A0F9" w14:textId="7144EF9C" w:rsidR="00EA6C7C" w:rsidRPr="00865140" w:rsidRDefault="00C66544" w:rsidP="00865140">
      <w:pPr>
        <w:jc w:val="center"/>
        <w:rPr>
          <w:rStyle w:val="Strong"/>
          <w:sz w:val="28"/>
          <w:szCs w:val="28"/>
          <w:lang w:val="en-GB"/>
        </w:rPr>
      </w:pPr>
      <w:r>
        <w:rPr>
          <w:b/>
          <w:sz w:val="28"/>
          <w:szCs w:val="28"/>
          <w:lang w:val="en-GB"/>
        </w:rPr>
        <w:t xml:space="preserve">Additional </w:t>
      </w:r>
      <w:r w:rsidR="003C15AF">
        <w:rPr>
          <w:b/>
          <w:sz w:val="28"/>
          <w:szCs w:val="28"/>
          <w:lang w:val="en-GB"/>
        </w:rPr>
        <w:t>information about the Contract Notice</w:t>
      </w:r>
      <w:r w:rsidR="003C15AF" w:rsidRPr="004759A5">
        <w:rPr>
          <w:sz w:val="28"/>
          <w:szCs w:val="28"/>
          <w:lang w:val="en-GB"/>
        </w:rPr>
        <w:br/>
      </w:r>
    </w:p>
    <w:p w14:paraId="40CA69EB" w14:textId="54DE1070" w:rsidR="00EA6C7C" w:rsidRPr="00154ECA" w:rsidRDefault="00EA6C7C" w:rsidP="0025703B">
      <w:pPr>
        <w:spacing w:after="240"/>
        <w:jc w:val="center"/>
        <w:rPr>
          <w:sz w:val="28"/>
          <w:szCs w:val="28"/>
          <w:lang w:val="en-GB"/>
        </w:rPr>
      </w:pPr>
      <w:r w:rsidRPr="00154ECA">
        <w:rPr>
          <w:rStyle w:val="Strong"/>
          <w:sz w:val="28"/>
          <w:szCs w:val="28"/>
          <w:lang w:val="en-GB"/>
        </w:rPr>
        <w:t>Contract title</w:t>
      </w:r>
      <w:r w:rsidR="003017C2" w:rsidRPr="00154ECA">
        <w:rPr>
          <w:rStyle w:val="Strong"/>
          <w:sz w:val="28"/>
          <w:szCs w:val="28"/>
          <w:lang w:val="en-GB"/>
        </w:rPr>
        <w:t>:</w:t>
      </w:r>
      <w:r w:rsidR="003017C2" w:rsidRPr="00154ECA">
        <w:t xml:space="preserve"> </w:t>
      </w:r>
      <w:r w:rsidR="003017C2" w:rsidRPr="00154ECA">
        <w:rPr>
          <w:rStyle w:val="Strong"/>
          <w:sz w:val="28"/>
          <w:szCs w:val="28"/>
          <w:lang w:val="en-GB"/>
        </w:rPr>
        <w:t>Specialized intervention equipment</w:t>
      </w:r>
      <w:r w:rsidRPr="00154ECA">
        <w:rPr>
          <w:rStyle w:val="Strong"/>
          <w:sz w:val="28"/>
          <w:szCs w:val="28"/>
          <w:lang w:val="en-GB"/>
        </w:rPr>
        <w:br/>
      </w:r>
      <w:r w:rsidR="003017C2" w:rsidRPr="00154ECA">
        <w:rPr>
          <w:rStyle w:val="Strong"/>
          <w:sz w:val="28"/>
          <w:szCs w:val="28"/>
          <w:lang w:val="en-GB"/>
        </w:rPr>
        <w:t>Belgrade</w:t>
      </w:r>
    </w:p>
    <w:p w14:paraId="20618759" w14:textId="77777777" w:rsidR="009A3842" w:rsidRPr="00154ECA" w:rsidRDefault="009A3842" w:rsidP="00170460">
      <w:pPr>
        <w:pStyle w:val="PRAGHeading2"/>
        <w:ind w:left="426" w:hanging="426"/>
        <w:rPr>
          <w:lang w:val="en-GB"/>
        </w:rPr>
      </w:pPr>
      <w:r w:rsidRPr="00154ECA">
        <w:rPr>
          <w:rStyle w:val="Strong"/>
          <w:sz w:val="22"/>
          <w:szCs w:val="22"/>
          <w:lang w:val="en-GB"/>
        </w:rPr>
        <w:t>Nature of contract</w:t>
      </w:r>
    </w:p>
    <w:p w14:paraId="27C26D14" w14:textId="506ACBDB" w:rsidR="005407B9" w:rsidRPr="00154ECA" w:rsidRDefault="005407B9" w:rsidP="003017C2">
      <w:pPr>
        <w:ind w:firstLine="360"/>
        <w:rPr>
          <w:rStyle w:val="Strong"/>
          <w:b w:val="0"/>
          <w:szCs w:val="22"/>
        </w:rPr>
      </w:pPr>
      <w:proofErr w:type="gramStart"/>
      <w:r w:rsidRPr="00154ECA">
        <w:rPr>
          <w:rStyle w:val="Strong"/>
          <w:b w:val="0"/>
          <w:sz w:val="22"/>
          <w:szCs w:val="22"/>
          <w:lang w:val="en-GB"/>
        </w:rPr>
        <w:t>unit</w:t>
      </w:r>
      <w:proofErr w:type="gramEnd"/>
      <w:r w:rsidRPr="00154ECA">
        <w:rPr>
          <w:rStyle w:val="Strong"/>
          <w:b w:val="0"/>
          <w:sz w:val="22"/>
          <w:szCs w:val="22"/>
          <w:lang w:val="en-GB"/>
        </w:rPr>
        <w:t xml:space="preserve"> price</w:t>
      </w:r>
    </w:p>
    <w:p w14:paraId="68DF593A" w14:textId="77777777" w:rsidR="00AA22A5" w:rsidRPr="00154ECA" w:rsidRDefault="00AA22A5" w:rsidP="00170460">
      <w:pPr>
        <w:pStyle w:val="PRAGHeading2"/>
        <w:ind w:left="426" w:hanging="426"/>
        <w:rPr>
          <w:rStyle w:val="Strong"/>
          <w:sz w:val="22"/>
          <w:szCs w:val="22"/>
          <w:lang w:val="en-GB"/>
        </w:rPr>
      </w:pPr>
      <w:r w:rsidRPr="00154ECA">
        <w:rPr>
          <w:rStyle w:val="Strong"/>
          <w:sz w:val="22"/>
          <w:szCs w:val="22"/>
          <w:lang w:val="en-GB"/>
        </w:rPr>
        <w:t>Programme title</w:t>
      </w:r>
    </w:p>
    <w:p w14:paraId="799F52CC" w14:textId="1C19E644" w:rsidR="003017C2" w:rsidRPr="00154ECA" w:rsidRDefault="003017C2" w:rsidP="003017C2">
      <w:pPr>
        <w:pStyle w:val="PRAGHeading2"/>
        <w:numPr>
          <w:ilvl w:val="0"/>
          <w:numId w:val="0"/>
        </w:numPr>
        <w:ind w:left="426"/>
        <w:rPr>
          <w:rStyle w:val="Strong"/>
          <w:b w:val="0"/>
          <w:sz w:val="22"/>
          <w:szCs w:val="22"/>
          <w:lang w:val="en-GB"/>
        </w:rPr>
      </w:pPr>
      <w:r w:rsidRPr="00154ECA">
        <w:rPr>
          <w:rStyle w:val="Strong"/>
          <w:b w:val="0"/>
          <w:sz w:val="22"/>
          <w:szCs w:val="22"/>
          <w:lang w:val="en-GB"/>
        </w:rPr>
        <w:t>INTERREG-IPA Cross-Border Cooperation Bulgaria – Serbia Programme</w:t>
      </w:r>
    </w:p>
    <w:p w14:paraId="4A56BF5F" w14:textId="77777777" w:rsidR="00CA6501" w:rsidRPr="00154ECA" w:rsidRDefault="00B2271A" w:rsidP="00170460">
      <w:pPr>
        <w:pStyle w:val="PRAGHeading2"/>
        <w:ind w:left="426" w:hanging="426"/>
        <w:rPr>
          <w:rStyle w:val="Strong"/>
          <w:sz w:val="22"/>
          <w:szCs w:val="22"/>
        </w:rPr>
      </w:pPr>
      <w:r w:rsidRPr="00154ECA">
        <w:rPr>
          <w:rStyle w:val="Strong"/>
          <w:sz w:val="22"/>
          <w:szCs w:val="22"/>
          <w:lang w:val="en-GB"/>
        </w:rPr>
        <w:t>Financing</w:t>
      </w:r>
    </w:p>
    <w:p w14:paraId="7CF88ACE" w14:textId="567D224F" w:rsidR="00CA6501" w:rsidRPr="00154ECA" w:rsidRDefault="003017C2" w:rsidP="00170460">
      <w:pPr>
        <w:ind w:left="426" w:right="360"/>
        <w:rPr>
          <w:sz w:val="22"/>
          <w:szCs w:val="22"/>
          <w:lang w:val="en-GB"/>
        </w:rPr>
      </w:pPr>
      <w:r w:rsidRPr="00154ECA">
        <w:rPr>
          <w:sz w:val="22"/>
          <w:szCs w:val="22"/>
          <w:lang w:val="en-GB"/>
        </w:rPr>
        <w:t>IPA</w:t>
      </w:r>
    </w:p>
    <w:p w14:paraId="4D2FE4A6" w14:textId="32212720" w:rsidR="00F72244" w:rsidRPr="00865140" w:rsidRDefault="00F72244" w:rsidP="00865140">
      <w:pPr>
        <w:pStyle w:val="PRAGHeading2"/>
        <w:ind w:left="426" w:hanging="426"/>
        <w:rPr>
          <w:b/>
          <w:sz w:val="22"/>
          <w:szCs w:val="22"/>
          <w:lang w:val="en-GB"/>
        </w:rPr>
      </w:pPr>
      <w:r w:rsidRPr="00154ECA">
        <w:rPr>
          <w:rStyle w:val="Strong"/>
          <w:sz w:val="22"/>
          <w:szCs w:val="22"/>
          <w:lang w:val="en-GB"/>
        </w:rPr>
        <w:t>Legal basis, e</w:t>
      </w:r>
      <w:r w:rsidR="00AA22A5" w:rsidRPr="00154ECA">
        <w:rPr>
          <w:rStyle w:val="Strong"/>
          <w:sz w:val="22"/>
          <w:szCs w:val="22"/>
          <w:lang w:val="en-GB"/>
        </w:rPr>
        <w:t>ligibility and rules of origin</w:t>
      </w:r>
    </w:p>
    <w:p w14:paraId="235711BD" w14:textId="756E8BB8" w:rsidR="00F72244" w:rsidRPr="00865140" w:rsidRDefault="00F72244" w:rsidP="00865140">
      <w:pPr>
        <w:pStyle w:val="PRAGHeading2"/>
        <w:numPr>
          <w:ilvl w:val="0"/>
          <w:numId w:val="0"/>
        </w:numPr>
        <w:ind w:left="426"/>
        <w:jc w:val="both"/>
        <w:rPr>
          <w:rStyle w:val="Strong"/>
          <w:b w:val="0"/>
          <w:sz w:val="22"/>
          <w:szCs w:val="22"/>
          <w:lang w:val="en-GB"/>
        </w:rPr>
      </w:pPr>
      <w:r w:rsidRPr="00865140">
        <w:rPr>
          <w:rStyle w:val="Strong"/>
          <w:b w:val="0"/>
          <w:sz w:val="22"/>
          <w:szCs w:val="22"/>
          <w:lang w:val="en-GB"/>
        </w:rPr>
        <w:t xml:space="preserve">The legal basis of this procedure is </w:t>
      </w:r>
      <w:r w:rsidR="003017C2" w:rsidRPr="00865140">
        <w:rPr>
          <w:rStyle w:val="Strong"/>
          <w:b w:val="0"/>
          <w:sz w:val="22"/>
          <w:szCs w:val="22"/>
          <w:lang w:val="en-GB"/>
        </w:rPr>
        <w:t>Regulation (EU) No</w:t>
      </w:r>
      <w:proofErr w:type="gramStart"/>
      <w:r w:rsidR="003017C2" w:rsidRPr="00865140">
        <w:rPr>
          <w:rStyle w:val="Strong"/>
          <w:b w:val="0"/>
          <w:sz w:val="22"/>
          <w:szCs w:val="22"/>
          <w:lang w:val="en-GB"/>
        </w:rPr>
        <w:t>.</w:t>
      </w:r>
      <w:r w:rsidRPr="00865140">
        <w:rPr>
          <w:rStyle w:val="Strong"/>
          <w:b w:val="0"/>
          <w:sz w:val="22"/>
          <w:szCs w:val="22"/>
          <w:lang w:val="en-GB"/>
        </w:rPr>
        <w:t>[</w:t>
      </w:r>
      <w:proofErr w:type="gramEnd"/>
      <w:r w:rsidR="00567635" w:rsidRPr="00865140">
        <w:rPr>
          <w:rStyle w:val="Strong"/>
          <w:b w:val="0"/>
          <w:sz w:val="22"/>
          <w:szCs w:val="22"/>
          <w:lang w:val="en-GB"/>
        </w:rPr>
        <w:t>2021/1529</w:t>
      </w:r>
      <w:r w:rsidRPr="00865140">
        <w:rPr>
          <w:rStyle w:val="Strong"/>
          <w:b w:val="0"/>
          <w:sz w:val="22"/>
          <w:szCs w:val="22"/>
          <w:lang w:val="en-GB"/>
        </w:rPr>
        <w:t xml:space="preserve"> establishing the Instrument for Pre-accession </w:t>
      </w:r>
      <w:r w:rsidR="003017C2" w:rsidRPr="00865140">
        <w:rPr>
          <w:rStyle w:val="Strong"/>
          <w:b w:val="0"/>
          <w:sz w:val="22"/>
          <w:szCs w:val="22"/>
          <w:lang w:val="en-GB"/>
        </w:rPr>
        <w:t>Assistance (IPA III)</w:t>
      </w:r>
      <w:r w:rsidRPr="00865140">
        <w:rPr>
          <w:rStyle w:val="Strong"/>
          <w:b w:val="0"/>
          <w:sz w:val="22"/>
          <w:szCs w:val="22"/>
          <w:lang w:val="en-GB"/>
        </w:rPr>
        <w:t xml:space="preserve">. </w:t>
      </w:r>
      <w:r w:rsidR="006F2C5A" w:rsidRPr="00865140">
        <w:rPr>
          <w:rStyle w:val="Strong"/>
          <w:b w:val="0"/>
          <w:sz w:val="22"/>
          <w:szCs w:val="22"/>
          <w:lang w:val="en-GB"/>
        </w:rPr>
        <w:t>See Annex A2 of the practical guide.</w:t>
      </w:r>
    </w:p>
    <w:p w14:paraId="49863688" w14:textId="3CE6E6F5" w:rsidR="00865140" w:rsidRDefault="00F72244" w:rsidP="00865140">
      <w:pPr>
        <w:pStyle w:val="PRAGHeading2"/>
        <w:numPr>
          <w:ilvl w:val="0"/>
          <w:numId w:val="0"/>
        </w:numPr>
        <w:ind w:left="426"/>
        <w:jc w:val="both"/>
        <w:rPr>
          <w:rStyle w:val="Strong"/>
          <w:b w:val="0"/>
          <w:sz w:val="22"/>
          <w:szCs w:val="22"/>
          <w:lang w:val="en-GB"/>
        </w:rPr>
      </w:pPr>
      <w:r w:rsidRPr="00865140">
        <w:rPr>
          <w:rStyle w:val="Strong"/>
          <w:b w:val="0"/>
          <w:sz w:val="22"/>
          <w:szCs w:val="22"/>
          <w:lang w:val="en-GB"/>
        </w:rPr>
        <w:t>For this contract award procedure, participation is open to all natural persons who are nationals of and legal persons (participating either individually or in a grouping – consortium – of candidates/tenderers) which ar</w:t>
      </w:r>
      <w:r w:rsidR="00154ECA" w:rsidRPr="00865140">
        <w:rPr>
          <w:rStyle w:val="Strong"/>
          <w:b w:val="0"/>
          <w:sz w:val="22"/>
          <w:szCs w:val="22"/>
          <w:lang w:val="en-GB"/>
        </w:rPr>
        <w:t>e effectively established in a </w:t>
      </w:r>
      <w:r w:rsidRPr="00865140">
        <w:rPr>
          <w:rStyle w:val="Strong"/>
          <w:b w:val="0"/>
          <w:sz w:val="22"/>
          <w:szCs w:val="22"/>
          <w:lang w:val="en-GB"/>
        </w:rPr>
        <w:t>Member State of the European Union or in an eligible country or territory as defined under Article 1</w:t>
      </w:r>
      <w:r w:rsidR="009C0C1C" w:rsidRPr="00865140">
        <w:rPr>
          <w:rStyle w:val="Strong"/>
          <w:b w:val="0"/>
          <w:sz w:val="22"/>
          <w:szCs w:val="22"/>
          <w:lang w:val="en-GB"/>
        </w:rPr>
        <w:t>1</w:t>
      </w:r>
      <w:r w:rsidR="003017C2" w:rsidRPr="00865140">
        <w:rPr>
          <w:rStyle w:val="Strong"/>
          <w:b w:val="0"/>
          <w:sz w:val="22"/>
          <w:szCs w:val="22"/>
          <w:lang w:val="en-GB"/>
        </w:rPr>
        <w:t xml:space="preserve"> of Regulation (EU) No.</w:t>
      </w:r>
      <w:r w:rsidR="00567635" w:rsidRPr="00865140">
        <w:rPr>
          <w:rStyle w:val="Strong"/>
          <w:b w:val="0"/>
          <w:sz w:val="22"/>
          <w:szCs w:val="22"/>
          <w:lang w:val="en-GB"/>
        </w:rPr>
        <w:t>2021/1529</w:t>
      </w:r>
      <w:r w:rsidRPr="00865140">
        <w:rPr>
          <w:rStyle w:val="Strong"/>
          <w:b w:val="0"/>
          <w:sz w:val="22"/>
          <w:szCs w:val="22"/>
          <w:lang w:val="en-GB"/>
        </w:rPr>
        <w:t xml:space="preserve"> establishing the Instrument for Pre-accession Assistance (IPA III). </w:t>
      </w:r>
    </w:p>
    <w:p w14:paraId="6A3974EF" w14:textId="359252FB" w:rsidR="00F72244" w:rsidRPr="00865140" w:rsidRDefault="00F72244" w:rsidP="00865140">
      <w:pPr>
        <w:pStyle w:val="PRAGHeading2"/>
        <w:numPr>
          <w:ilvl w:val="0"/>
          <w:numId w:val="0"/>
        </w:numPr>
        <w:ind w:left="426"/>
        <w:jc w:val="both"/>
        <w:rPr>
          <w:sz w:val="22"/>
          <w:szCs w:val="22"/>
          <w:lang w:val="en-GB"/>
        </w:rPr>
      </w:pPr>
      <w:r w:rsidRPr="00865140">
        <w:t xml:space="preserve">All supplies </w:t>
      </w:r>
      <w:proofErr w:type="spellStart"/>
      <w:r w:rsidRPr="00865140">
        <w:t>under</w:t>
      </w:r>
      <w:proofErr w:type="spellEnd"/>
      <w:r w:rsidRPr="00865140">
        <w:t xml:space="preserve"> </w:t>
      </w:r>
      <w:proofErr w:type="spellStart"/>
      <w:r w:rsidRPr="00865140">
        <w:t>this</w:t>
      </w:r>
      <w:proofErr w:type="spellEnd"/>
      <w:r w:rsidRPr="00865140">
        <w:t xml:space="preserve"> </w:t>
      </w:r>
      <w:proofErr w:type="spellStart"/>
      <w:r w:rsidRPr="00865140">
        <w:t>contrac</w:t>
      </w:r>
      <w:r w:rsidR="003017C2" w:rsidRPr="00865140">
        <w:t>t</w:t>
      </w:r>
      <w:proofErr w:type="spellEnd"/>
      <w:r w:rsidR="003017C2" w:rsidRPr="00865140">
        <w:t xml:space="preserve"> </w:t>
      </w:r>
      <w:proofErr w:type="spellStart"/>
      <w:r w:rsidR="003017C2" w:rsidRPr="00865140">
        <w:t>may</w:t>
      </w:r>
      <w:proofErr w:type="spellEnd"/>
      <w:r w:rsidR="003017C2" w:rsidRPr="00865140">
        <w:t xml:space="preserve"> </w:t>
      </w:r>
      <w:proofErr w:type="spellStart"/>
      <w:r w:rsidR="003017C2" w:rsidRPr="00865140">
        <w:t>originate</w:t>
      </w:r>
      <w:proofErr w:type="spellEnd"/>
      <w:r w:rsidR="003017C2" w:rsidRPr="00865140">
        <w:t xml:space="preserve"> in </w:t>
      </w:r>
      <w:proofErr w:type="spellStart"/>
      <w:r w:rsidR="003017C2" w:rsidRPr="00865140">
        <w:t>any</w:t>
      </w:r>
      <w:proofErr w:type="spellEnd"/>
      <w:r w:rsidR="003017C2" w:rsidRPr="00865140">
        <w:t xml:space="preserve"> country.</w:t>
      </w:r>
    </w:p>
    <w:p w14:paraId="2EDC82BB" w14:textId="77777777" w:rsidR="003017C2" w:rsidRPr="00154ECA" w:rsidRDefault="003017C2" w:rsidP="003017C2">
      <w:pPr>
        <w:pStyle w:val="paragraph"/>
        <w:spacing w:before="0" w:beforeAutospacing="0" w:after="0" w:afterAutospacing="0"/>
        <w:ind w:left="426"/>
        <w:jc w:val="both"/>
        <w:textAlignment w:val="baseline"/>
        <w:rPr>
          <w:rStyle w:val="Strong"/>
          <w:b w:val="0"/>
          <w:iCs/>
          <w:sz w:val="22"/>
          <w:szCs w:val="22"/>
          <w:lang w:val="en-IE"/>
        </w:rPr>
      </w:pP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1F05D4EF"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w:t>
      </w:r>
      <w:r w:rsidR="003017C2">
        <w:rPr>
          <w:rStyle w:val="Strong"/>
          <w:b w:val="0"/>
          <w:sz w:val="22"/>
          <w:szCs w:val="22"/>
          <w:lang w:val="en-GB"/>
        </w:rPr>
        <w:t>tner of a consortium submitting</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63D57C15" w14:textId="01371FE5" w:rsidR="007F0659" w:rsidRPr="001537D8" w:rsidRDefault="00865140" w:rsidP="001537D8">
      <w:pPr>
        <w:pStyle w:val="PRAGHeading2"/>
        <w:shd w:val="clear" w:color="auto" w:fill="FFFFFF" w:themeFill="background1"/>
        <w:ind w:left="426" w:hanging="426"/>
        <w:rPr>
          <w:rStyle w:val="Strong"/>
          <w:sz w:val="22"/>
          <w:szCs w:val="22"/>
          <w:lang w:val="en-GB"/>
        </w:rPr>
      </w:pPr>
      <w:r>
        <w:rPr>
          <w:rStyle w:val="Strong"/>
          <w:sz w:val="22"/>
          <w:szCs w:val="22"/>
          <w:lang w:val="en-GB"/>
        </w:rPr>
        <w:t>/</w:t>
      </w:r>
    </w:p>
    <w:p w14:paraId="3D419B22" w14:textId="77777777" w:rsidR="003E0003" w:rsidRPr="00154ECA" w:rsidRDefault="003E0003" w:rsidP="003E0003">
      <w:pPr>
        <w:pStyle w:val="PRAGHeading2"/>
        <w:ind w:left="426" w:hanging="426"/>
        <w:rPr>
          <w:rStyle w:val="Strong"/>
          <w:sz w:val="22"/>
          <w:szCs w:val="22"/>
          <w:lang w:val="en-GB"/>
        </w:rPr>
      </w:pPr>
      <w:r w:rsidRPr="00154ECA">
        <w:rPr>
          <w:rStyle w:val="Strong"/>
          <w:sz w:val="22"/>
          <w:szCs w:val="22"/>
          <w:lang w:val="en-GB"/>
        </w:rPr>
        <w:t xml:space="preserve">Sub-contracting </w:t>
      </w:r>
    </w:p>
    <w:p w14:paraId="18E93714" w14:textId="77777777" w:rsidR="003E0003" w:rsidRPr="00154ECA" w:rsidRDefault="003E0003" w:rsidP="00361BF6">
      <w:pPr>
        <w:pStyle w:val="PRAGHeading2"/>
        <w:numPr>
          <w:ilvl w:val="0"/>
          <w:numId w:val="0"/>
        </w:numPr>
        <w:ind w:left="426"/>
        <w:rPr>
          <w:rStyle w:val="Strong"/>
          <w:sz w:val="22"/>
          <w:szCs w:val="22"/>
          <w:lang w:val="en-GB"/>
        </w:rPr>
      </w:pPr>
      <w:proofErr w:type="spellStart"/>
      <w:r w:rsidRPr="00154ECA">
        <w:rPr>
          <w:rStyle w:val="Emphasis"/>
          <w:i w:val="0"/>
          <w:sz w:val="22"/>
          <w:szCs w:val="22"/>
        </w:rPr>
        <w:t>Sub-contracting</w:t>
      </w:r>
      <w:proofErr w:type="spellEnd"/>
      <w:r w:rsidRPr="00154ECA">
        <w:rPr>
          <w:rStyle w:val="Emphasis"/>
          <w:i w:val="0"/>
          <w:sz w:val="22"/>
          <w:szCs w:val="22"/>
        </w:rPr>
        <w:t xml:space="preserve"> </w:t>
      </w:r>
      <w:proofErr w:type="spellStart"/>
      <w:r w:rsidRPr="00154ECA">
        <w:rPr>
          <w:rStyle w:val="Emphasis"/>
          <w:i w:val="0"/>
          <w:sz w:val="22"/>
          <w:szCs w:val="22"/>
        </w:rPr>
        <w:t>is</w:t>
      </w:r>
      <w:proofErr w:type="spellEnd"/>
      <w:r w:rsidRPr="00154ECA">
        <w:rPr>
          <w:rStyle w:val="Emphasis"/>
          <w:i w:val="0"/>
          <w:sz w:val="22"/>
          <w:szCs w:val="22"/>
        </w:rPr>
        <w:t xml:space="preserve"> </w:t>
      </w:r>
      <w:proofErr w:type="spellStart"/>
      <w:r w:rsidRPr="00154ECA">
        <w:rPr>
          <w:rStyle w:val="Emphasis"/>
          <w:i w:val="0"/>
          <w:sz w:val="22"/>
          <w:szCs w:val="22"/>
        </w:rPr>
        <w:t>allowed</w:t>
      </w:r>
      <w:proofErr w:type="spellEnd"/>
      <w:r w:rsidRPr="00154ECA">
        <w:rPr>
          <w:rStyle w:val="Emphasis"/>
          <w:i w:val="0"/>
          <w:sz w:val="22"/>
          <w:szCs w:val="22"/>
        </w:rPr>
        <w:t>.</w:t>
      </w:r>
    </w:p>
    <w:p w14:paraId="45F2B7EE" w14:textId="1C8C0650" w:rsidR="00AA22A5" w:rsidRPr="00154ECA" w:rsidRDefault="00AA22A5" w:rsidP="00AC4ADC">
      <w:pPr>
        <w:pStyle w:val="PRAGHeading2"/>
        <w:ind w:left="426" w:hanging="426"/>
        <w:rPr>
          <w:rStyle w:val="Strong"/>
          <w:sz w:val="22"/>
          <w:szCs w:val="22"/>
          <w:lang w:val="en-GB"/>
        </w:rPr>
      </w:pPr>
      <w:r w:rsidRPr="00154ECA">
        <w:rPr>
          <w:rStyle w:val="Strong"/>
          <w:sz w:val="22"/>
          <w:szCs w:val="22"/>
          <w:lang w:val="en-GB"/>
        </w:rPr>
        <w:lastRenderedPageBreak/>
        <w:t xml:space="preserve">Number of </w:t>
      </w:r>
      <w:r w:rsidR="00246FE9" w:rsidRPr="00154ECA">
        <w:rPr>
          <w:rStyle w:val="Strong"/>
          <w:sz w:val="22"/>
          <w:szCs w:val="22"/>
          <w:lang w:val="en-GB"/>
        </w:rPr>
        <w:t>c</w:t>
      </w:r>
      <w:r w:rsidRPr="00154ECA">
        <w:rPr>
          <w:rStyle w:val="Strong"/>
          <w:sz w:val="22"/>
          <w:szCs w:val="22"/>
          <w:lang w:val="en-GB"/>
        </w:rPr>
        <w:t xml:space="preserve">andidates to be short-listed </w:t>
      </w:r>
    </w:p>
    <w:p w14:paraId="0B87121C" w14:textId="2918F228" w:rsidR="00AA22A5" w:rsidRPr="00154ECA" w:rsidRDefault="007F0659" w:rsidP="00AA22A5">
      <w:pPr>
        <w:pStyle w:val="PRAGHeading2"/>
        <w:numPr>
          <w:ilvl w:val="0"/>
          <w:numId w:val="0"/>
        </w:numPr>
        <w:ind w:left="426"/>
        <w:jc w:val="both"/>
        <w:rPr>
          <w:rStyle w:val="Strong"/>
          <w:b w:val="0"/>
          <w:sz w:val="22"/>
          <w:szCs w:val="22"/>
          <w:lang w:val="en-GB"/>
        </w:rPr>
      </w:pPr>
      <w:r w:rsidRPr="00154ECA">
        <w:rPr>
          <w:rStyle w:val="Strong"/>
          <w:b w:val="0"/>
          <w:sz w:val="22"/>
          <w:szCs w:val="22"/>
          <w:lang w:val="en-GB"/>
        </w:rPr>
        <w:t>Not applicable</w:t>
      </w:r>
    </w:p>
    <w:p w14:paraId="57CE7E2F" w14:textId="2C0DC8EB" w:rsidR="008321A0" w:rsidRPr="00154ECA" w:rsidRDefault="008321A0" w:rsidP="008321A0">
      <w:pPr>
        <w:pStyle w:val="PRAGHeading2"/>
        <w:ind w:left="426" w:hanging="426"/>
        <w:rPr>
          <w:rStyle w:val="Strong"/>
          <w:sz w:val="22"/>
          <w:szCs w:val="22"/>
          <w:lang w:val="en-GB"/>
        </w:rPr>
      </w:pPr>
      <w:r w:rsidRPr="00154ECA">
        <w:rPr>
          <w:rStyle w:val="Strong"/>
          <w:sz w:val="22"/>
          <w:szCs w:val="22"/>
          <w:lang w:val="en-GB"/>
        </w:rPr>
        <w:t>Short</w:t>
      </w:r>
      <w:r w:rsidR="00114E7D" w:rsidRPr="00154ECA">
        <w:rPr>
          <w:rStyle w:val="Strong"/>
          <w:sz w:val="22"/>
          <w:szCs w:val="22"/>
          <w:lang w:val="en-GB"/>
        </w:rPr>
        <w:t>-</w:t>
      </w:r>
      <w:r w:rsidRPr="00154ECA">
        <w:rPr>
          <w:rStyle w:val="Strong"/>
          <w:sz w:val="22"/>
          <w:szCs w:val="22"/>
          <w:lang w:val="en-GB"/>
        </w:rPr>
        <w:t xml:space="preserve">list alliances prohibited </w:t>
      </w:r>
    </w:p>
    <w:p w14:paraId="4B8E02FF" w14:textId="280830BA" w:rsidR="008321A0" w:rsidRPr="00154ECA" w:rsidRDefault="001810FF" w:rsidP="0057553C">
      <w:pPr>
        <w:pStyle w:val="PRAGHeading2"/>
        <w:numPr>
          <w:ilvl w:val="0"/>
          <w:numId w:val="0"/>
        </w:numPr>
        <w:ind w:left="426"/>
        <w:jc w:val="both"/>
        <w:rPr>
          <w:rStyle w:val="Strong"/>
          <w:b w:val="0"/>
          <w:sz w:val="22"/>
          <w:szCs w:val="22"/>
          <w:lang w:val="en-GB"/>
        </w:rPr>
      </w:pPr>
      <w:r w:rsidRPr="00154ECA">
        <w:rPr>
          <w:rStyle w:val="Strong"/>
          <w:b w:val="0"/>
          <w:sz w:val="22"/>
          <w:szCs w:val="22"/>
          <w:lang w:val="en-GB"/>
        </w:rPr>
        <w:t>Not applicable</w:t>
      </w:r>
    </w:p>
    <w:p w14:paraId="2215E12E" w14:textId="77777777" w:rsidR="00AA22A5" w:rsidRPr="00154ECA" w:rsidRDefault="00AA22A5" w:rsidP="00AC4ADC">
      <w:pPr>
        <w:pStyle w:val="PRAGHeading2"/>
        <w:ind w:left="426" w:hanging="426"/>
        <w:rPr>
          <w:rStyle w:val="Strong"/>
          <w:sz w:val="22"/>
          <w:szCs w:val="22"/>
          <w:lang w:val="en-GB"/>
        </w:rPr>
      </w:pPr>
      <w:r w:rsidRPr="00154ECA">
        <w:rPr>
          <w:rStyle w:val="Strong"/>
          <w:sz w:val="22"/>
          <w:szCs w:val="22"/>
          <w:lang w:val="en-GB"/>
        </w:rPr>
        <w:t xml:space="preserve">Provisional date of </w:t>
      </w:r>
      <w:r w:rsidR="00246FE9" w:rsidRPr="00154ECA">
        <w:rPr>
          <w:rStyle w:val="Strong"/>
          <w:sz w:val="22"/>
          <w:szCs w:val="22"/>
          <w:lang w:val="en-GB"/>
        </w:rPr>
        <w:t>i</w:t>
      </w:r>
      <w:r w:rsidRPr="00154ECA">
        <w:rPr>
          <w:rStyle w:val="Strong"/>
          <w:sz w:val="22"/>
          <w:szCs w:val="22"/>
          <w:lang w:val="en-GB"/>
        </w:rPr>
        <w:t xml:space="preserve">nvitation to tender </w:t>
      </w:r>
    </w:p>
    <w:p w14:paraId="3C6C74CF" w14:textId="34A1FB36" w:rsidR="00AA22A5" w:rsidRPr="00154ECA" w:rsidRDefault="001810FF" w:rsidP="00AA22A5">
      <w:pPr>
        <w:pStyle w:val="PRAGHeading2"/>
        <w:numPr>
          <w:ilvl w:val="0"/>
          <w:numId w:val="0"/>
        </w:numPr>
        <w:ind w:left="426"/>
        <w:rPr>
          <w:i/>
          <w:lang w:val="en-GB"/>
        </w:rPr>
      </w:pPr>
      <w:r w:rsidRPr="00154ECA">
        <w:rPr>
          <w:rStyle w:val="Emphasis"/>
          <w:i w:val="0"/>
          <w:sz w:val="22"/>
          <w:szCs w:val="22"/>
          <w:lang w:val="en-GB"/>
        </w:rPr>
        <w:t xml:space="preserve">Not </w:t>
      </w:r>
      <w:r w:rsidR="00865140" w:rsidRPr="00154ECA">
        <w:rPr>
          <w:rStyle w:val="Emphasis"/>
          <w:i w:val="0"/>
          <w:sz w:val="22"/>
          <w:szCs w:val="22"/>
          <w:lang w:val="en-GB"/>
        </w:rPr>
        <w:t>applicable</w:t>
      </w:r>
    </w:p>
    <w:p w14:paraId="27C9ED89" w14:textId="77777777" w:rsidR="00AA22A5" w:rsidRPr="00154ECA" w:rsidRDefault="00AA22A5" w:rsidP="00AC4ADC">
      <w:pPr>
        <w:pStyle w:val="PRAGHeading2"/>
        <w:ind w:left="426" w:hanging="426"/>
        <w:rPr>
          <w:rStyle w:val="Strong"/>
          <w:sz w:val="22"/>
          <w:szCs w:val="22"/>
          <w:lang w:val="en-GB"/>
        </w:rPr>
      </w:pPr>
      <w:r w:rsidRPr="00154ECA">
        <w:rPr>
          <w:rStyle w:val="Strong"/>
          <w:sz w:val="22"/>
          <w:szCs w:val="22"/>
          <w:lang w:val="en-GB"/>
        </w:rPr>
        <w:t xml:space="preserve">Provisional commencement date of the contract </w:t>
      </w:r>
    </w:p>
    <w:p w14:paraId="08AA6D6D" w14:textId="3ACF5455" w:rsidR="00AA22A5" w:rsidRPr="00EA6E20" w:rsidRDefault="007A42FB" w:rsidP="00865140">
      <w:pPr>
        <w:pStyle w:val="PRAGHeading2"/>
        <w:numPr>
          <w:ilvl w:val="0"/>
          <w:numId w:val="0"/>
        </w:numPr>
        <w:ind w:left="426"/>
        <w:rPr>
          <w:rStyle w:val="Emphasis"/>
          <w:i w:val="0"/>
          <w:sz w:val="22"/>
          <w:szCs w:val="22"/>
          <w:lang w:val="en-GB"/>
        </w:rPr>
      </w:pPr>
      <w:r w:rsidRPr="00EA6E20">
        <w:rPr>
          <w:rStyle w:val="Emphasis"/>
          <w:i w:val="0"/>
          <w:sz w:val="22"/>
          <w:szCs w:val="22"/>
          <w:lang w:val="en-GB"/>
        </w:rPr>
        <w:t>October 2025.</w:t>
      </w:r>
    </w:p>
    <w:p w14:paraId="0D349B1C" w14:textId="77777777" w:rsidR="00AA22A5" w:rsidRPr="00EA6E20" w:rsidRDefault="00AA22A5" w:rsidP="00AC4ADC">
      <w:pPr>
        <w:pStyle w:val="PRAGHeading2"/>
        <w:ind w:left="426" w:hanging="426"/>
        <w:rPr>
          <w:rStyle w:val="Strong"/>
          <w:sz w:val="22"/>
          <w:szCs w:val="22"/>
          <w:lang w:val="en-GB"/>
        </w:rPr>
      </w:pPr>
      <w:r w:rsidRPr="00EA6E20">
        <w:rPr>
          <w:rStyle w:val="Strong"/>
          <w:sz w:val="22"/>
          <w:szCs w:val="22"/>
          <w:lang w:val="en-GB"/>
        </w:rPr>
        <w:t>P</w:t>
      </w:r>
      <w:r w:rsidRPr="00EA6E20">
        <w:rPr>
          <w:rStyle w:val="Strong"/>
          <w:lang w:val="en-GB"/>
        </w:rPr>
        <w:t>eriod of implementation of tasks</w:t>
      </w:r>
    </w:p>
    <w:p w14:paraId="268E0420" w14:textId="592A002A" w:rsidR="00865140" w:rsidRPr="00865140" w:rsidRDefault="001810FF" w:rsidP="00EA6E20">
      <w:pPr>
        <w:ind w:left="426"/>
        <w:jc w:val="both"/>
        <w:rPr>
          <w:sz w:val="22"/>
          <w:szCs w:val="22"/>
          <w:lang w:val="en-GB"/>
        </w:rPr>
      </w:pPr>
      <w:r w:rsidRPr="00EA6E20">
        <w:rPr>
          <w:sz w:val="22"/>
          <w:szCs w:val="22"/>
          <w:lang w:val="en-GB"/>
        </w:rPr>
        <w:t>The period of implementation of tasks is 13 months from</w:t>
      </w:r>
      <w:r w:rsidRPr="00865140">
        <w:rPr>
          <w:sz w:val="22"/>
          <w:szCs w:val="22"/>
          <w:lang w:val="en-GB"/>
        </w:rPr>
        <w:t xml:space="preserve"> the signature date of the contract.</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1022BD83" w14:textId="56399AA4" w:rsidR="00A95A76" w:rsidRDefault="00A95A76" w:rsidP="007A42FB">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tender </w:t>
      </w:r>
      <w:r w:rsidR="00355942">
        <w:rPr>
          <w:sz w:val="22"/>
          <w:szCs w:val="22"/>
          <w:lang w:val="en-GB"/>
        </w:rPr>
        <w:t xml:space="preserve">submission </w:t>
      </w:r>
      <w:r w:rsidRPr="00C348D5">
        <w:rPr>
          <w:sz w:val="22"/>
          <w:szCs w:val="22"/>
          <w:lang w:val="en-GB"/>
        </w:rPr>
        <w:t xml:space="preserve">form must be expressed in </w:t>
      </w:r>
      <w:r w:rsidRPr="00865140">
        <w:t>EUR.</w:t>
      </w:r>
      <w:r w:rsidRPr="00C348D5">
        <w:rPr>
          <w:sz w:val="22"/>
          <w:szCs w:val="22"/>
          <w:lang w:val="en-GB"/>
        </w:rPr>
        <w:t xml:space="preserve"> </w:t>
      </w:r>
    </w:p>
    <w:p w14:paraId="0D37A2DA" w14:textId="77777777" w:rsidR="00502AD2" w:rsidRPr="007A42FB" w:rsidRDefault="00502AD2" w:rsidP="007A42FB">
      <w:pPr>
        <w:pStyle w:val="PRAGHeading2"/>
        <w:numPr>
          <w:ilvl w:val="0"/>
          <w:numId w:val="0"/>
        </w:numPr>
        <w:ind w:left="426"/>
        <w:jc w:val="both"/>
        <w:rPr>
          <w:rStyle w:val="Strong"/>
          <w:b w:val="0"/>
          <w:sz w:val="22"/>
          <w:szCs w:val="22"/>
          <w:lang w:val="en-GB"/>
        </w:rPr>
      </w:pPr>
    </w:p>
    <w:p w14:paraId="79495465" w14:textId="77777777" w:rsidR="00502AD2" w:rsidRPr="00B33EE6" w:rsidRDefault="00502AD2" w:rsidP="00502AD2">
      <w:pPr>
        <w:jc w:val="center"/>
        <w:rPr>
          <w:sz w:val="28"/>
          <w:szCs w:val="28"/>
          <w:lang w:val="en-GB"/>
        </w:rPr>
      </w:pPr>
      <w:r w:rsidRPr="00B33EE6">
        <w:rPr>
          <w:rStyle w:val="Strong"/>
          <w:sz w:val="28"/>
          <w:szCs w:val="28"/>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60C0BA5B" w14:textId="6A614DA3" w:rsidR="001A5043" w:rsidRDefault="001A5043" w:rsidP="00242F6D">
      <w:pPr>
        <w:spacing w:before="240"/>
        <w:ind w:left="414"/>
        <w:jc w:val="both"/>
        <w:rPr>
          <w:sz w:val="22"/>
          <w:szCs w:val="22"/>
          <w:lang w:val="en-GB"/>
        </w:rPr>
      </w:pPr>
      <w:r w:rsidRPr="001A5043">
        <w:rPr>
          <w:sz w:val="22"/>
          <w:szCs w:val="22"/>
          <w:lang w:val="en-GB"/>
        </w:rPr>
        <w:t xml:space="preserve">The following selection criteria will be applied to the tenderers. </w:t>
      </w:r>
      <w:r w:rsidRPr="001A5043">
        <w:rPr>
          <w:b/>
          <w:sz w:val="22"/>
          <w:szCs w:val="22"/>
          <w:lang w:val="en-GB"/>
        </w:rPr>
        <w:t>In the case of tenders submitted by a consortium, these selection criteria will be applied to the consortium as a whole</w:t>
      </w:r>
      <w:r>
        <w:rPr>
          <w:sz w:val="22"/>
          <w:szCs w:val="22"/>
          <w:lang w:val="en-GB"/>
        </w:rPr>
        <w:t>,</w:t>
      </w:r>
      <w:r w:rsidRPr="001A5043">
        <w:rPr>
          <w:sz w:val="22"/>
          <w:szCs w:val="22"/>
          <w:lang w:val="en-GB"/>
        </w:rPr>
        <w:t xml:space="preserve"> if not specified otherwise. The selection criteria will not be applied to natural persons and single-member companies when they are sub-contractors.</w:t>
      </w:r>
    </w:p>
    <w:p w14:paraId="3B552459" w14:textId="77777777" w:rsidR="00EA6E20" w:rsidRDefault="00EA6E20" w:rsidP="00242F6D">
      <w:pPr>
        <w:spacing w:before="240"/>
        <w:ind w:left="414"/>
        <w:jc w:val="both"/>
        <w:rPr>
          <w:sz w:val="22"/>
          <w:szCs w:val="22"/>
          <w:lang w:val="en-GB"/>
        </w:rPr>
      </w:pPr>
    </w:p>
    <w:p w14:paraId="4C60430C" w14:textId="77777777" w:rsidR="00EA6E20" w:rsidRDefault="00EA6E20" w:rsidP="00242F6D">
      <w:pPr>
        <w:spacing w:before="240"/>
        <w:ind w:left="414"/>
        <w:jc w:val="both"/>
        <w:rPr>
          <w:sz w:val="22"/>
          <w:szCs w:val="22"/>
          <w:lang w:val="en-GB"/>
        </w:rPr>
      </w:pPr>
    </w:p>
    <w:p w14:paraId="5594B7AA" w14:textId="45E123E8" w:rsidR="00943C88" w:rsidRPr="001E7A39" w:rsidRDefault="00943C88" w:rsidP="00943C88">
      <w:pPr>
        <w:ind w:firstLine="414"/>
        <w:rPr>
          <w:sz w:val="22"/>
          <w:szCs w:val="22"/>
        </w:rPr>
      </w:pPr>
      <w:r w:rsidRPr="00865140">
        <w:rPr>
          <w:sz w:val="22"/>
          <w:szCs w:val="22"/>
        </w:rPr>
        <w:t>The selection criteria for each tenderer are as follows:</w:t>
      </w:r>
    </w:p>
    <w:p w14:paraId="13A868CF" w14:textId="77777777" w:rsidR="004B34F6" w:rsidRDefault="00AA22A5" w:rsidP="001A5043">
      <w:pPr>
        <w:pStyle w:val="Heading4"/>
        <w:numPr>
          <w:ilvl w:val="0"/>
          <w:numId w:val="27"/>
        </w:numPr>
      </w:pPr>
      <w:r w:rsidRPr="00242F6D">
        <w:rPr>
          <w:b/>
          <w:u w:val="single"/>
        </w:rPr>
        <w:t>Economic and financial capacity</w:t>
      </w:r>
      <w:r w:rsidR="00F33CD5" w:rsidRPr="00242F6D">
        <w:t xml:space="preserve"> </w:t>
      </w:r>
      <w:r w:rsidR="00F33CD5" w:rsidRPr="00242F6D">
        <w:rPr>
          <w:b/>
        </w:rPr>
        <w:t>(</w:t>
      </w:r>
      <w:r w:rsidR="00F33CD5" w:rsidRPr="00242F6D">
        <w:t>based on item</w:t>
      </w:r>
      <w:r w:rsidR="00AA11FD">
        <w:t xml:space="preserve"> </w:t>
      </w:r>
      <w:r w:rsidR="00F33CD5" w:rsidRPr="00AA11FD">
        <w:t>3 of supply tender form). In case of candidate being a public body, equivalent information should be provided. The reference period which will be taken into account will be the last three years for which accounts have been closed.</w:t>
      </w:r>
    </w:p>
    <w:p w14:paraId="03C0C1D4" w14:textId="3EC97835" w:rsidR="004B34F6" w:rsidRPr="006C1EA7" w:rsidRDefault="004B34F6" w:rsidP="002F4C2E">
      <w:pPr>
        <w:pStyle w:val="ListParagraph"/>
        <w:numPr>
          <w:ilvl w:val="0"/>
          <w:numId w:val="23"/>
        </w:numPr>
        <w:spacing w:before="240"/>
        <w:jc w:val="both"/>
        <w:rPr>
          <w:b/>
          <w:sz w:val="22"/>
          <w:szCs w:val="22"/>
          <w:lang w:val="en-GB"/>
        </w:rPr>
      </w:pPr>
      <w:r w:rsidRPr="006C1EA7">
        <w:rPr>
          <w:b/>
          <w:sz w:val="22"/>
          <w:szCs w:val="22"/>
          <w:lang w:val="en-GB"/>
        </w:rPr>
        <w:t>The average annual turnover of the tenderer in the last three years must exceed the amount of 1 million euros.</w:t>
      </w:r>
    </w:p>
    <w:p w14:paraId="06DDF78B" w14:textId="7F50C200" w:rsidR="002F4C2E" w:rsidRPr="006C1EA7" w:rsidRDefault="009D15E6" w:rsidP="002F4C2E">
      <w:pPr>
        <w:spacing w:before="240"/>
        <w:ind w:left="414"/>
        <w:jc w:val="both"/>
        <w:rPr>
          <w:sz w:val="22"/>
          <w:szCs w:val="22"/>
          <w:lang w:val="en-GB"/>
        </w:rPr>
      </w:pPr>
      <w:r w:rsidRPr="006C1EA7">
        <w:rPr>
          <w:b/>
          <w:sz w:val="22"/>
          <w:szCs w:val="22"/>
          <w:u w:val="single"/>
          <w:lang w:val="en-GB"/>
        </w:rPr>
        <w:t>2)</w:t>
      </w:r>
      <w:r w:rsidRPr="006C1EA7">
        <w:rPr>
          <w:sz w:val="22"/>
          <w:szCs w:val="22"/>
          <w:lang w:val="en-GB"/>
        </w:rPr>
        <w:t xml:space="preserve"> </w:t>
      </w:r>
      <w:r w:rsidRPr="006C1EA7">
        <w:rPr>
          <w:b/>
          <w:sz w:val="22"/>
          <w:szCs w:val="22"/>
          <w:u w:val="single"/>
          <w:lang w:val="en-GB"/>
        </w:rPr>
        <w:t>P</w:t>
      </w:r>
      <w:r w:rsidR="00AA22A5" w:rsidRPr="006C1EA7">
        <w:rPr>
          <w:b/>
          <w:sz w:val="22"/>
          <w:szCs w:val="22"/>
          <w:u w:val="single"/>
          <w:lang w:val="en-GB"/>
        </w:rPr>
        <w:t>rofessional capacity</w:t>
      </w:r>
      <w:r w:rsidR="00AA22A5" w:rsidRPr="006C1EA7">
        <w:rPr>
          <w:sz w:val="22"/>
          <w:szCs w:val="22"/>
          <w:lang w:val="en-GB"/>
        </w:rPr>
        <w:t xml:space="preserve"> </w:t>
      </w:r>
      <w:r w:rsidRPr="006C1EA7">
        <w:rPr>
          <w:sz w:val="22"/>
          <w:szCs w:val="22"/>
          <w:lang w:val="en-GB"/>
        </w:rPr>
        <w:t xml:space="preserve">(based on </w:t>
      </w:r>
      <w:r w:rsidR="00F65592" w:rsidRPr="006C1EA7">
        <w:rPr>
          <w:sz w:val="22"/>
          <w:szCs w:val="22"/>
          <w:lang w:val="en-GB"/>
        </w:rPr>
        <w:t>items</w:t>
      </w:r>
      <w:r w:rsidR="00F65592" w:rsidRPr="00242F6D">
        <w:rPr>
          <w:sz w:val="22"/>
          <w:szCs w:val="22"/>
          <w:lang w:val="en-GB"/>
        </w:rPr>
        <w:t xml:space="preserve">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w:t>
      </w:r>
      <w:r w:rsidR="003907E7" w:rsidRPr="006C1EA7">
        <w:rPr>
          <w:sz w:val="22"/>
          <w:szCs w:val="22"/>
          <w:lang w:val="en-GB"/>
        </w:rPr>
        <w:t xml:space="preserve">last three </w:t>
      </w:r>
      <w:r w:rsidRPr="006C1EA7">
        <w:rPr>
          <w:sz w:val="22"/>
          <w:szCs w:val="22"/>
          <w:lang w:val="en-GB"/>
        </w:rPr>
        <w:t xml:space="preserve">years </w:t>
      </w:r>
      <w:r w:rsidR="003907E7" w:rsidRPr="006C1EA7">
        <w:rPr>
          <w:sz w:val="22"/>
          <w:szCs w:val="22"/>
          <w:lang w:val="en-GB"/>
        </w:rPr>
        <w:t>preceding the</w:t>
      </w:r>
      <w:r w:rsidRPr="006C1EA7">
        <w:rPr>
          <w:sz w:val="22"/>
          <w:szCs w:val="22"/>
          <w:lang w:val="en-GB"/>
        </w:rPr>
        <w:t xml:space="preserve"> submission deadline.</w:t>
      </w:r>
    </w:p>
    <w:p w14:paraId="1515F9F9" w14:textId="77777777" w:rsidR="00CD604B" w:rsidRPr="00EA6E20" w:rsidRDefault="002F4C2E" w:rsidP="00BE5478">
      <w:pPr>
        <w:pStyle w:val="ListParagraph"/>
        <w:numPr>
          <w:ilvl w:val="0"/>
          <w:numId w:val="23"/>
        </w:numPr>
        <w:spacing w:before="240"/>
        <w:jc w:val="both"/>
        <w:rPr>
          <w:b/>
          <w:sz w:val="22"/>
          <w:szCs w:val="22"/>
          <w:lang w:val="en-GB"/>
        </w:rPr>
      </w:pPr>
      <w:r w:rsidRPr="006C1EA7">
        <w:rPr>
          <w:b/>
          <w:sz w:val="22"/>
          <w:szCs w:val="22"/>
          <w:lang w:val="en-GB"/>
        </w:rPr>
        <w:t xml:space="preserve">The tenderer has the following ISO (The International Organization for Standardization) standards: 9001 Standard for quality management system; 14001 Standard for environmental management systems; 45001 Occupational health and </w:t>
      </w:r>
      <w:r w:rsidRPr="00EA6E20">
        <w:rPr>
          <w:b/>
          <w:sz w:val="22"/>
          <w:szCs w:val="22"/>
          <w:lang w:val="en-GB"/>
        </w:rPr>
        <w:t>safety management systems.</w:t>
      </w:r>
    </w:p>
    <w:p w14:paraId="0B7ABE38" w14:textId="549C4727" w:rsidR="00743D4F" w:rsidRDefault="00B15079" w:rsidP="00743D4F">
      <w:pPr>
        <w:pStyle w:val="ListParagraph"/>
        <w:numPr>
          <w:ilvl w:val="0"/>
          <w:numId w:val="23"/>
        </w:numPr>
        <w:spacing w:before="240"/>
        <w:jc w:val="both"/>
        <w:rPr>
          <w:b/>
          <w:sz w:val="22"/>
          <w:szCs w:val="22"/>
          <w:lang w:val="en-GB"/>
        </w:rPr>
      </w:pPr>
      <w:r w:rsidRPr="00743D4F">
        <w:rPr>
          <w:b/>
          <w:sz w:val="22"/>
          <w:szCs w:val="22"/>
          <w:lang w:val="en-GB"/>
        </w:rPr>
        <w:t xml:space="preserve">At least 10 (ten) staff </w:t>
      </w:r>
      <w:r w:rsidR="00743D4F">
        <w:rPr>
          <w:b/>
          <w:sz w:val="22"/>
          <w:szCs w:val="22"/>
          <w:lang w:val="en-GB"/>
        </w:rPr>
        <w:t xml:space="preserve">members </w:t>
      </w:r>
      <w:r w:rsidR="005E28CB" w:rsidRPr="00743D4F">
        <w:rPr>
          <w:b/>
          <w:sz w:val="22"/>
          <w:szCs w:val="22"/>
          <w:lang w:val="en-GB"/>
        </w:rPr>
        <w:t>currently work for the tenderer in fields related to this contract</w:t>
      </w:r>
      <w:r w:rsidR="00743D4F">
        <w:rPr>
          <w:b/>
          <w:sz w:val="22"/>
          <w:szCs w:val="22"/>
          <w:lang w:val="en-GB"/>
        </w:rPr>
        <w:t>.</w:t>
      </w:r>
    </w:p>
    <w:p w14:paraId="352EFA62" w14:textId="7EE0296E" w:rsidR="00743D4F" w:rsidRDefault="00743D4F" w:rsidP="00743D4F">
      <w:pPr>
        <w:pStyle w:val="ListParagraph"/>
        <w:numPr>
          <w:ilvl w:val="0"/>
          <w:numId w:val="23"/>
        </w:numPr>
        <w:spacing w:before="240"/>
        <w:jc w:val="both"/>
        <w:rPr>
          <w:b/>
          <w:sz w:val="22"/>
          <w:szCs w:val="22"/>
          <w:lang w:val="en-GB"/>
        </w:rPr>
      </w:pPr>
      <w:r w:rsidRPr="00743D4F">
        <w:rPr>
          <w:b/>
          <w:sz w:val="22"/>
          <w:szCs w:val="22"/>
          <w:lang w:val="en-GB"/>
        </w:rPr>
        <w:t>At least one staff member is currently employed as a mechanical engineer, and at least one staff member is currently employed as an electrical engineer.</w:t>
      </w:r>
    </w:p>
    <w:p w14:paraId="15B5CBB7" w14:textId="6648561E" w:rsidR="008E0CCF" w:rsidRPr="00743D4F" w:rsidRDefault="008E0CCF" w:rsidP="00743D4F">
      <w:pPr>
        <w:pStyle w:val="ListParagraph"/>
        <w:numPr>
          <w:ilvl w:val="0"/>
          <w:numId w:val="23"/>
        </w:numPr>
        <w:spacing w:before="240"/>
        <w:jc w:val="both"/>
        <w:rPr>
          <w:b/>
          <w:sz w:val="22"/>
          <w:szCs w:val="22"/>
          <w:lang w:val="en-GB"/>
        </w:rPr>
      </w:pPr>
      <w:r w:rsidRPr="00743D4F">
        <w:rPr>
          <w:b/>
          <w:sz w:val="22"/>
          <w:szCs w:val="22"/>
          <w:lang w:val="en-GB"/>
        </w:rPr>
        <w:t>The tenderer has, during the current year and the previous t</w:t>
      </w:r>
      <w:r w:rsidR="009B31BC" w:rsidRPr="00743D4F">
        <w:rPr>
          <w:b/>
          <w:sz w:val="22"/>
          <w:szCs w:val="22"/>
          <w:lang w:val="en-GB"/>
        </w:rPr>
        <w:t xml:space="preserve">wo years, on average, at least </w:t>
      </w:r>
      <w:r w:rsidRPr="00743D4F">
        <w:rPr>
          <w:b/>
          <w:sz w:val="22"/>
          <w:szCs w:val="22"/>
          <w:lang w:val="en-GB"/>
        </w:rPr>
        <w:t xml:space="preserve">10 (ten) personnel directly employed, or otherwise legally contracted on a permanent or non-permanent basis, in fields related to this contract. </w:t>
      </w:r>
      <w:r w:rsidRPr="00743D4F">
        <w:rPr>
          <w:b/>
          <w:sz w:val="22"/>
          <w:szCs w:val="22"/>
        </w:rPr>
        <w:t xml:space="preserve"> </w:t>
      </w:r>
    </w:p>
    <w:p w14:paraId="08757625" w14:textId="77777777" w:rsidR="00EA6E20" w:rsidRPr="00EA6E20" w:rsidRDefault="00EA6E20" w:rsidP="00EA6E20">
      <w:pPr>
        <w:pStyle w:val="ListParagraph"/>
        <w:spacing w:before="240"/>
        <w:ind w:left="1134"/>
        <w:jc w:val="both"/>
        <w:rPr>
          <w:b/>
          <w:sz w:val="22"/>
          <w:szCs w:val="22"/>
          <w:lang w:val="en-GB"/>
        </w:rPr>
      </w:pPr>
      <w:bookmarkStart w:id="1" w:name="_GoBack"/>
      <w:bookmarkEnd w:id="1"/>
    </w:p>
    <w:p w14:paraId="737F8902" w14:textId="768649ED" w:rsidR="002F4C2E" w:rsidRPr="002F4C2E" w:rsidRDefault="00E04B6B" w:rsidP="002F4C2E">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The reference period which will be</w:t>
      </w:r>
      <w:r w:rsidR="002F4C2E">
        <w:rPr>
          <w:sz w:val="22"/>
          <w:szCs w:val="22"/>
          <w:lang w:val="en-GB"/>
        </w:rPr>
        <w:t xml:space="preserve"> taken into account will be </w:t>
      </w:r>
      <w:r w:rsidR="002F4C2E" w:rsidRPr="001A5043">
        <w:rPr>
          <w:sz w:val="22"/>
          <w:szCs w:val="22"/>
          <w:lang w:val="en-GB"/>
        </w:rPr>
        <w:t>the</w:t>
      </w:r>
      <w:r w:rsidR="00DC6227" w:rsidRPr="001A5043">
        <w:rPr>
          <w:sz w:val="22"/>
          <w:szCs w:val="22"/>
          <w:lang w:val="en-GB"/>
        </w:rPr>
        <w:t xml:space="preserve"> </w:t>
      </w:r>
      <w:r w:rsidRPr="001A5043">
        <w:rPr>
          <w:sz w:val="22"/>
          <w:szCs w:val="22"/>
          <w:lang w:val="en-GB"/>
        </w:rPr>
        <w:t>last</w:t>
      </w:r>
      <w:r w:rsidR="003907E7" w:rsidRPr="001A5043">
        <w:rPr>
          <w:sz w:val="22"/>
          <w:szCs w:val="22"/>
          <w:lang w:val="en-GB"/>
        </w:rPr>
        <w:t xml:space="preserve"> three</w:t>
      </w:r>
      <w:r w:rsidRPr="001A5043">
        <w:rPr>
          <w:sz w:val="22"/>
          <w:szCs w:val="22"/>
          <w:lang w:val="en-GB"/>
        </w:rPr>
        <w:t xml:space="preserve"> years</w:t>
      </w:r>
      <w:r w:rsidR="002F4C2E" w:rsidRPr="001A5043">
        <w:rPr>
          <w:sz w:val="22"/>
          <w:szCs w:val="22"/>
          <w:lang w:val="en-GB"/>
        </w:rPr>
        <w:t xml:space="preserve"> </w:t>
      </w:r>
      <w:r w:rsidRPr="00242F6D">
        <w:rPr>
          <w:sz w:val="22"/>
          <w:szCs w:val="22"/>
          <w:lang w:val="en-GB"/>
        </w:rPr>
        <w:t>from submission deadline.</w:t>
      </w:r>
    </w:p>
    <w:p w14:paraId="73063550" w14:textId="59DE9E13" w:rsidR="003907E7" w:rsidRPr="006C1EA7" w:rsidRDefault="002F4C2E" w:rsidP="002F4C2E">
      <w:pPr>
        <w:pStyle w:val="ListParagraph"/>
        <w:numPr>
          <w:ilvl w:val="0"/>
          <w:numId w:val="23"/>
        </w:numPr>
        <w:spacing w:before="240"/>
        <w:jc w:val="both"/>
        <w:rPr>
          <w:b/>
          <w:sz w:val="22"/>
          <w:szCs w:val="22"/>
          <w:lang w:val="en-GB"/>
        </w:rPr>
      </w:pPr>
      <w:r w:rsidRPr="006C1EA7">
        <w:rPr>
          <w:b/>
          <w:sz w:val="22"/>
          <w:szCs w:val="22"/>
          <w:lang w:val="en-GB"/>
        </w:rPr>
        <w:t xml:space="preserve">The tenderer must have successfully delivered supplies under 1 (one) contract, with a minimum budget exceeding 50% of tenderer's financial offer for this contract, in the field related to this contract, which was implemented at any moment during the </w:t>
      </w:r>
      <w:r w:rsidR="001537D8" w:rsidRPr="006C1EA7">
        <w:rPr>
          <w:b/>
          <w:sz w:val="22"/>
          <w:szCs w:val="22"/>
          <w:lang w:val="en-GB"/>
        </w:rPr>
        <w:t xml:space="preserve">following </w:t>
      </w:r>
      <w:r w:rsidRPr="006C1EA7">
        <w:rPr>
          <w:b/>
          <w:sz w:val="22"/>
          <w:szCs w:val="22"/>
          <w:lang w:val="en-GB"/>
        </w:rPr>
        <w:t>period: 22.08.2022 - 22.08.2025.</w:t>
      </w:r>
    </w:p>
    <w:p w14:paraId="1F137DB1" w14:textId="77777777" w:rsidR="001A5043" w:rsidRPr="001A5043" w:rsidRDefault="001A5043" w:rsidP="001A5043">
      <w:pPr>
        <w:pStyle w:val="Blockquote"/>
        <w:tabs>
          <w:tab w:val="left" w:pos="284"/>
        </w:tabs>
        <w:ind w:left="710" w:right="26"/>
        <w:jc w:val="both"/>
        <w:rPr>
          <w:sz w:val="22"/>
          <w:szCs w:val="22"/>
          <w:lang w:val="en-GB"/>
        </w:rPr>
      </w:pPr>
      <w:r w:rsidRPr="001A5043">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67F0C903" w14:textId="49C9BC67" w:rsidR="00876CC8" w:rsidRDefault="001A5043" w:rsidP="001A5043">
      <w:pPr>
        <w:pStyle w:val="Blockquote"/>
        <w:tabs>
          <w:tab w:val="left" w:pos="284"/>
        </w:tabs>
        <w:ind w:left="710" w:right="26"/>
        <w:jc w:val="both"/>
        <w:rPr>
          <w:sz w:val="22"/>
          <w:szCs w:val="22"/>
          <w:highlight w:val="lightGray"/>
          <w:lang w:val="en-GB"/>
        </w:rPr>
      </w:pPr>
      <w:r w:rsidRPr="001A5043">
        <w:rPr>
          <w:sz w:val="22"/>
          <w:szCs w:val="22"/>
          <w:lang w:val="en-GB"/>
        </w:rPr>
        <w:t>Previous experience which would have led to breach of contract and termination by a contracting authority shall not be used as reference. This is also applicable concerning the previous experience of experts required under a fee-based service contract.</w:t>
      </w:r>
    </w:p>
    <w:p w14:paraId="0A158B66" w14:textId="2523CD05" w:rsidR="00BA29BB" w:rsidRPr="004416A1" w:rsidRDefault="00BA29BB" w:rsidP="004416A1">
      <w:pPr>
        <w:widowControl/>
        <w:spacing w:before="240" w:after="0"/>
        <w:ind w:left="426"/>
        <w:jc w:val="both"/>
        <w:rPr>
          <w:sz w:val="22"/>
          <w:szCs w:val="22"/>
          <w:highlight w:val="lightGray"/>
          <w:lang w:val="en-GB"/>
        </w:rPr>
      </w:pPr>
    </w:p>
    <w:p w14:paraId="779189B0" w14:textId="77777777" w:rsidR="00AA22A5" w:rsidRPr="001A5043" w:rsidRDefault="00AA22A5" w:rsidP="005B6500">
      <w:pPr>
        <w:pStyle w:val="PRAGHeading2"/>
        <w:ind w:left="426" w:hanging="426"/>
        <w:rPr>
          <w:rStyle w:val="Strong"/>
          <w:sz w:val="22"/>
          <w:szCs w:val="22"/>
          <w:lang w:val="en-GB"/>
        </w:rPr>
      </w:pPr>
      <w:r w:rsidRPr="001A5043">
        <w:rPr>
          <w:rStyle w:val="Strong"/>
          <w:sz w:val="22"/>
          <w:szCs w:val="22"/>
          <w:lang w:val="en-GB"/>
        </w:rPr>
        <w:t>Award criteria</w:t>
      </w:r>
    </w:p>
    <w:p w14:paraId="04F91FF2" w14:textId="1D422E3A" w:rsidR="00EA0609" w:rsidRPr="00EA6E20" w:rsidRDefault="0047788A" w:rsidP="00EA6E20">
      <w:pPr>
        <w:pStyle w:val="Blockquote"/>
        <w:ind w:left="426" w:right="72"/>
        <w:jc w:val="both"/>
        <w:rPr>
          <w:sz w:val="22"/>
          <w:szCs w:val="22"/>
          <w:lang w:val="en-GB"/>
        </w:rPr>
      </w:pPr>
      <w:r>
        <w:rPr>
          <w:sz w:val="22"/>
          <w:szCs w:val="22"/>
          <w:lang w:val="en-GB"/>
        </w:rPr>
        <w:t>Price</w:t>
      </w:r>
    </w:p>
    <w:sectPr w:rsidR="00EA0609" w:rsidRPr="00EA6E2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9369A" w14:textId="77777777" w:rsidR="000005E0" w:rsidRDefault="000005E0" w:rsidP="000A4362">
      <w:pPr>
        <w:spacing w:before="0" w:after="0"/>
      </w:pPr>
      <w:r>
        <w:separator/>
      </w:r>
    </w:p>
  </w:endnote>
  <w:endnote w:type="continuationSeparator" w:id="0">
    <w:p w14:paraId="60EFE7D1" w14:textId="77777777" w:rsidR="000005E0" w:rsidRDefault="000005E0"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A7DBA" w14:textId="77777777" w:rsidR="00436A64" w:rsidRDefault="00436A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1F588BCE"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743D4F">
      <w:rPr>
        <w:noProof/>
        <w:sz w:val="18"/>
        <w:szCs w:val="18"/>
        <w:lang w:val="en-GB"/>
      </w:rPr>
      <w:t>3</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743D4F">
      <w:rPr>
        <w:noProof/>
        <w:sz w:val="18"/>
        <w:szCs w:val="18"/>
        <w:lang w:val="en-GB"/>
      </w:rPr>
      <w:t>3</w:t>
    </w:r>
    <w:r>
      <w:rPr>
        <w:noProof/>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CCCFD" w14:textId="77777777" w:rsidR="00436A64" w:rsidRDefault="00436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75D3B" w14:textId="77777777" w:rsidR="000005E0" w:rsidRDefault="000005E0" w:rsidP="000A4362">
      <w:pPr>
        <w:spacing w:before="0" w:after="0"/>
      </w:pPr>
      <w:r>
        <w:separator/>
      </w:r>
    </w:p>
  </w:footnote>
  <w:footnote w:type="continuationSeparator" w:id="0">
    <w:p w14:paraId="2810850E" w14:textId="77777777" w:rsidR="000005E0" w:rsidRDefault="000005E0" w:rsidP="000A436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39B91" w14:textId="77777777" w:rsidR="00436A64" w:rsidRDefault="00436A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B6EE4" w14:textId="77777777" w:rsidR="00436A64" w:rsidRDefault="00436A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95E2D" w14:textId="77777777" w:rsidR="00436A64" w:rsidRDefault="00436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nsid w:val="11D725D3"/>
    <w:multiLevelType w:val="hybridMultilevel"/>
    <w:tmpl w:val="A8707686"/>
    <w:lvl w:ilvl="0" w:tplc="04090001">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0154902"/>
    <w:multiLevelType w:val="hybridMultilevel"/>
    <w:tmpl w:val="4A5E5A74"/>
    <w:lvl w:ilvl="0" w:tplc="17441276">
      <w:start w:val="1"/>
      <w:numFmt w:val="decimal"/>
      <w:lvlText w:val="%1)"/>
      <w:lvlJc w:val="left"/>
      <w:pPr>
        <w:ind w:left="1134" w:hanging="360"/>
      </w:pPr>
      <w:rPr>
        <w:rFonts w:hint="default"/>
        <w:b/>
        <w:u w:val="single"/>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11">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4"/>
  </w:num>
  <w:num w:numId="4">
    <w:abstractNumId w:val="13"/>
  </w:num>
  <w:num w:numId="5">
    <w:abstractNumId w:val="11"/>
  </w:num>
  <w:num w:numId="6">
    <w:abstractNumId w:val="18"/>
  </w:num>
  <w:num w:numId="7">
    <w:abstractNumId w:val="3"/>
  </w:num>
  <w:num w:numId="8">
    <w:abstractNumId w:val="6"/>
  </w:num>
  <w:num w:numId="9">
    <w:abstractNumId w:val="19"/>
  </w:num>
  <w:num w:numId="10">
    <w:abstractNumId w:val="17"/>
  </w:num>
  <w:num w:numId="11">
    <w:abstractNumId w:val="12"/>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6"/>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5"/>
  </w:num>
  <w:num w:numId="22">
    <w:abstractNumId w:val="8"/>
  </w:num>
  <w:num w:numId="23">
    <w:abstractNumId w:val="5"/>
  </w:num>
  <w:num w:numId="24">
    <w:abstractNumId w:val="3"/>
  </w:num>
  <w:num w:numId="25">
    <w:abstractNumId w:val="3"/>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5E0"/>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5A9"/>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37D8"/>
    <w:rsid w:val="00154ECA"/>
    <w:rsid w:val="00156378"/>
    <w:rsid w:val="001567F0"/>
    <w:rsid w:val="00157612"/>
    <w:rsid w:val="001615EF"/>
    <w:rsid w:val="00163B0D"/>
    <w:rsid w:val="00170460"/>
    <w:rsid w:val="00177233"/>
    <w:rsid w:val="001810FF"/>
    <w:rsid w:val="00186E8B"/>
    <w:rsid w:val="001916FC"/>
    <w:rsid w:val="00192F46"/>
    <w:rsid w:val="00195EB7"/>
    <w:rsid w:val="001A5043"/>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4C2E"/>
    <w:rsid w:val="002F7735"/>
    <w:rsid w:val="003017C2"/>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3F83"/>
    <w:rsid w:val="00427637"/>
    <w:rsid w:val="004303BE"/>
    <w:rsid w:val="004338DF"/>
    <w:rsid w:val="00436A64"/>
    <w:rsid w:val="00440AC2"/>
    <w:rsid w:val="004416A1"/>
    <w:rsid w:val="00445455"/>
    <w:rsid w:val="00445A6E"/>
    <w:rsid w:val="00446B34"/>
    <w:rsid w:val="00447D0D"/>
    <w:rsid w:val="00453B5B"/>
    <w:rsid w:val="00453E14"/>
    <w:rsid w:val="00455656"/>
    <w:rsid w:val="00457E30"/>
    <w:rsid w:val="00460356"/>
    <w:rsid w:val="00461079"/>
    <w:rsid w:val="00465A93"/>
    <w:rsid w:val="00472E24"/>
    <w:rsid w:val="00473B36"/>
    <w:rsid w:val="004759A5"/>
    <w:rsid w:val="0047788A"/>
    <w:rsid w:val="0048352B"/>
    <w:rsid w:val="00491AFD"/>
    <w:rsid w:val="004A1738"/>
    <w:rsid w:val="004A62F5"/>
    <w:rsid w:val="004B2595"/>
    <w:rsid w:val="004B26C1"/>
    <w:rsid w:val="004B34F6"/>
    <w:rsid w:val="004B691C"/>
    <w:rsid w:val="004C05B2"/>
    <w:rsid w:val="004C2082"/>
    <w:rsid w:val="004C39EE"/>
    <w:rsid w:val="004D2C96"/>
    <w:rsid w:val="004E1551"/>
    <w:rsid w:val="004E1930"/>
    <w:rsid w:val="004F27F5"/>
    <w:rsid w:val="004F48AA"/>
    <w:rsid w:val="004F7108"/>
    <w:rsid w:val="00502AD2"/>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90680"/>
    <w:rsid w:val="005A0A93"/>
    <w:rsid w:val="005B412A"/>
    <w:rsid w:val="005B6500"/>
    <w:rsid w:val="005B674F"/>
    <w:rsid w:val="005C4AFB"/>
    <w:rsid w:val="005D0163"/>
    <w:rsid w:val="005D4C9B"/>
    <w:rsid w:val="005E28CB"/>
    <w:rsid w:val="005E38DC"/>
    <w:rsid w:val="005F443E"/>
    <w:rsid w:val="00601309"/>
    <w:rsid w:val="00626EC5"/>
    <w:rsid w:val="00634346"/>
    <w:rsid w:val="00637BBF"/>
    <w:rsid w:val="00637C7E"/>
    <w:rsid w:val="006415E3"/>
    <w:rsid w:val="0064266F"/>
    <w:rsid w:val="00643F9A"/>
    <w:rsid w:val="00646037"/>
    <w:rsid w:val="006546D7"/>
    <w:rsid w:val="00656879"/>
    <w:rsid w:val="00662E90"/>
    <w:rsid w:val="00672F39"/>
    <w:rsid w:val="006740A6"/>
    <w:rsid w:val="0067459C"/>
    <w:rsid w:val="00677B82"/>
    <w:rsid w:val="006833DA"/>
    <w:rsid w:val="00683E2E"/>
    <w:rsid w:val="00686414"/>
    <w:rsid w:val="006A0BB1"/>
    <w:rsid w:val="006A1D7C"/>
    <w:rsid w:val="006A32FA"/>
    <w:rsid w:val="006A6D08"/>
    <w:rsid w:val="006B08DC"/>
    <w:rsid w:val="006B328A"/>
    <w:rsid w:val="006B6683"/>
    <w:rsid w:val="006C1EA7"/>
    <w:rsid w:val="006C2E49"/>
    <w:rsid w:val="006C646F"/>
    <w:rsid w:val="006D316A"/>
    <w:rsid w:val="006E3521"/>
    <w:rsid w:val="006F2C5A"/>
    <w:rsid w:val="006F3C83"/>
    <w:rsid w:val="006F71B5"/>
    <w:rsid w:val="007047E0"/>
    <w:rsid w:val="007116B8"/>
    <w:rsid w:val="00714D39"/>
    <w:rsid w:val="00725716"/>
    <w:rsid w:val="00726596"/>
    <w:rsid w:val="00727C2D"/>
    <w:rsid w:val="00737453"/>
    <w:rsid w:val="007413BF"/>
    <w:rsid w:val="00743351"/>
    <w:rsid w:val="00743D4F"/>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42FB"/>
    <w:rsid w:val="007A5B6B"/>
    <w:rsid w:val="007A7580"/>
    <w:rsid w:val="007B42F5"/>
    <w:rsid w:val="007B4380"/>
    <w:rsid w:val="007B4AE3"/>
    <w:rsid w:val="007B5E37"/>
    <w:rsid w:val="007B6206"/>
    <w:rsid w:val="007B6BEA"/>
    <w:rsid w:val="007C3D00"/>
    <w:rsid w:val="007D50CE"/>
    <w:rsid w:val="007D6573"/>
    <w:rsid w:val="007E265D"/>
    <w:rsid w:val="007E559C"/>
    <w:rsid w:val="007F0659"/>
    <w:rsid w:val="007F5EFA"/>
    <w:rsid w:val="0080696C"/>
    <w:rsid w:val="00812890"/>
    <w:rsid w:val="0082086B"/>
    <w:rsid w:val="00826DC5"/>
    <w:rsid w:val="008321A0"/>
    <w:rsid w:val="0083255E"/>
    <w:rsid w:val="00834802"/>
    <w:rsid w:val="00836307"/>
    <w:rsid w:val="00845D58"/>
    <w:rsid w:val="00846A72"/>
    <w:rsid w:val="0085117D"/>
    <w:rsid w:val="0086084B"/>
    <w:rsid w:val="00860C8E"/>
    <w:rsid w:val="008612C5"/>
    <w:rsid w:val="00865140"/>
    <w:rsid w:val="00866A95"/>
    <w:rsid w:val="00876CC8"/>
    <w:rsid w:val="00876E9D"/>
    <w:rsid w:val="0088144C"/>
    <w:rsid w:val="008B3342"/>
    <w:rsid w:val="008B59D3"/>
    <w:rsid w:val="008B6020"/>
    <w:rsid w:val="008C5EDD"/>
    <w:rsid w:val="008D245E"/>
    <w:rsid w:val="008D280D"/>
    <w:rsid w:val="008D5230"/>
    <w:rsid w:val="008D6D3D"/>
    <w:rsid w:val="008E0CCF"/>
    <w:rsid w:val="008E0DCE"/>
    <w:rsid w:val="008E28A7"/>
    <w:rsid w:val="008F3096"/>
    <w:rsid w:val="008F7B39"/>
    <w:rsid w:val="00904189"/>
    <w:rsid w:val="009041DF"/>
    <w:rsid w:val="00910056"/>
    <w:rsid w:val="009113C2"/>
    <w:rsid w:val="0091445D"/>
    <w:rsid w:val="009168D3"/>
    <w:rsid w:val="0092500D"/>
    <w:rsid w:val="00926CDA"/>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B31BC"/>
    <w:rsid w:val="009C03DB"/>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2AB1"/>
    <w:rsid w:val="00B15079"/>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C0099"/>
    <w:rsid w:val="00BC08E6"/>
    <w:rsid w:val="00BC39F1"/>
    <w:rsid w:val="00BC6B0E"/>
    <w:rsid w:val="00BD0381"/>
    <w:rsid w:val="00BE5478"/>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1896"/>
    <w:rsid w:val="00CD379F"/>
    <w:rsid w:val="00CD416E"/>
    <w:rsid w:val="00CD5859"/>
    <w:rsid w:val="00CD604B"/>
    <w:rsid w:val="00CE2DED"/>
    <w:rsid w:val="00CE78B2"/>
    <w:rsid w:val="00CF4F15"/>
    <w:rsid w:val="00CF5041"/>
    <w:rsid w:val="00D05922"/>
    <w:rsid w:val="00D06492"/>
    <w:rsid w:val="00D067DA"/>
    <w:rsid w:val="00D23AC1"/>
    <w:rsid w:val="00D34AE3"/>
    <w:rsid w:val="00D3714A"/>
    <w:rsid w:val="00D3784C"/>
    <w:rsid w:val="00D404E7"/>
    <w:rsid w:val="00D5287A"/>
    <w:rsid w:val="00D56FD2"/>
    <w:rsid w:val="00D6605F"/>
    <w:rsid w:val="00D70F25"/>
    <w:rsid w:val="00D7181A"/>
    <w:rsid w:val="00D777E5"/>
    <w:rsid w:val="00D80B98"/>
    <w:rsid w:val="00D8757C"/>
    <w:rsid w:val="00D91AE4"/>
    <w:rsid w:val="00DB36EF"/>
    <w:rsid w:val="00DB778F"/>
    <w:rsid w:val="00DC6227"/>
    <w:rsid w:val="00DE7074"/>
    <w:rsid w:val="00DF02A7"/>
    <w:rsid w:val="00DF1007"/>
    <w:rsid w:val="00E04B6B"/>
    <w:rsid w:val="00E17808"/>
    <w:rsid w:val="00E23C0A"/>
    <w:rsid w:val="00E26496"/>
    <w:rsid w:val="00E27999"/>
    <w:rsid w:val="00E31865"/>
    <w:rsid w:val="00E335E3"/>
    <w:rsid w:val="00E34488"/>
    <w:rsid w:val="00E42B75"/>
    <w:rsid w:val="00E42D34"/>
    <w:rsid w:val="00E4799E"/>
    <w:rsid w:val="00E51E24"/>
    <w:rsid w:val="00E64736"/>
    <w:rsid w:val="00E65D08"/>
    <w:rsid w:val="00E75400"/>
    <w:rsid w:val="00E8713A"/>
    <w:rsid w:val="00E916CF"/>
    <w:rsid w:val="00EA0467"/>
    <w:rsid w:val="00EA0609"/>
    <w:rsid w:val="00EA349D"/>
    <w:rsid w:val="00EA4DA5"/>
    <w:rsid w:val="00EA6C7C"/>
    <w:rsid w:val="00EA6E20"/>
    <w:rsid w:val="00EB3BD5"/>
    <w:rsid w:val="00EC1F52"/>
    <w:rsid w:val="00EC4C50"/>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A5043"/>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A5043"/>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8C8F6-6A63-4999-BD6B-94294F01B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1193</Words>
  <Characters>6804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MUP</cp:lastModifiedBy>
  <cp:revision>3</cp:revision>
  <dcterms:created xsi:type="dcterms:W3CDTF">2025-06-17T09:54:00Z</dcterms:created>
  <dcterms:modified xsi:type="dcterms:W3CDTF">2025-06-17T10:04:00Z</dcterms:modified>
</cp:coreProperties>
</file>